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B3F3" w14:textId="77777777" w:rsidR="00F16F13" w:rsidRPr="00F16F13" w:rsidRDefault="00F16F13" w:rsidP="00984CCF">
      <w:pPr>
        <w:pStyle w:val="ac"/>
        <w:rPr>
          <w:lang w:val="en-US" w:bidi="ar-SA"/>
        </w:rPr>
      </w:pPr>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14:paraId="65577560" w14:textId="77777777"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0" w:name="_Toc134610681"/>
      <w:r w:rsidRPr="00F16F13">
        <w:rPr>
          <w:rFonts w:ascii="標楷體" w:eastAsia="標楷體" w:hAnsi="標楷體" w:cs="Times New Roman" w:hint="eastAsia"/>
          <w:color w:val="000000"/>
          <w:sz w:val="36"/>
          <w:szCs w:val="36"/>
          <w:lang w:val="en-US" w:bidi="ar-SA"/>
        </w:rPr>
        <w:t>【報名簡章】</w:t>
      </w:r>
      <w:bookmarkEnd w:id="0"/>
    </w:p>
    <w:p w14:paraId="673EC6B4"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14:paraId="6E59D7A1"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14:paraId="07B23F71"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14:paraId="5C388094"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14:paraId="7EA9A63F"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14:paraId="4D5BC216"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14:paraId="5431A1EE"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14:paraId="0F1DFC6F"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14:paraId="0C69E10E"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14:paraId="54EB8870"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14:paraId="6ADE0CEC"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63A2AA93"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14:paraId="7276B885"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4F91AE77" w14:textId="77777777"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14:paraId="22DEF7A7"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14:paraId="5ECF9523" w14:textId="77777777"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14:paraId="5C9946E4" w14:textId="77777777"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7F41773C"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14:paraId="0D8833E8" w14:textId="77777777"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14:paraId="3D3C0F8B"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442D0D2E" w14:textId="77777777"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14:paraId="0F5F74B5"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14:paraId="5C0CF2CF" w14:textId="77777777"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14:paraId="77CBCBBC" w14:textId="77777777"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14:paraId="506E744D" w14:textId="77777777" w:rsidTr="00296237">
        <w:tc>
          <w:tcPr>
            <w:tcW w:w="709" w:type="dxa"/>
            <w:vAlign w:val="center"/>
          </w:tcPr>
          <w:p w14:paraId="6053D1A6"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14:paraId="0A9EABF1"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14:paraId="0436FFD7" w14:textId="77777777"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14:paraId="4D0192ED"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14:paraId="26EF8DC2" w14:textId="77777777" w:rsidTr="00296237">
        <w:tc>
          <w:tcPr>
            <w:tcW w:w="709" w:type="dxa"/>
            <w:vAlign w:val="center"/>
          </w:tcPr>
          <w:p w14:paraId="38707E85"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EB29845"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14:paraId="348874BF"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14:paraId="71F38984"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14:paraId="37CDF1A8" w14:textId="77777777" w:rsidTr="00296237">
        <w:tc>
          <w:tcPr>
            <w:tcW w:w="709" w:type="dxa"/>
            <w:vAlign w:val="center"/>
          </w:tcPr>
          <w:p w14:paraId="4F1E083E"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E2F1847"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14:paraId="7FC328E4"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14:paraId="7D04AF81"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14:paraId="60456811" w14:textId="77777777" w:rsidTr="00296237">
        <w:tc>
          <w:tcPr>
            <w:tcW w:w="709" w:type="dxa"/>
            <w:vAlign w:val="center"/>
          </w:tcPr>
          <w:p w14:paraId="72BC955E"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7BB2119"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14:paraId="70F18FED"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14:paraId="7E2B5AC0"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14:paraId="0F8CA11A" w14:textId="77777777" w:rsidTr="00296237">
        <w:tc>
          <w:tcPr>
            <w:tcW w:w="709" w:type="dxa"/>
            <w:vAlign w:val="center"/>
          </w:tcPr>
          <w:p w14:paraId="61B638CE"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26AE0E81"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14:paraId="7E6F3244"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14:paraId="0AE85EE1"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14:paraId="210D213D" w14:textId="77777777"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14:paraId="0FC0DCE2"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14:paraId="74E674A8"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14:paraId="481657D4"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14:paraId="1C34312A" w14:textId="77777777"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1" w:name="_Hlk11040145"/>
      <w:r w:rsidRPr="00F16F13">
        <w:rPr>
          <w:rFonts w:ascii="標楷體" w:eastAsia="標楷體" w:hAnsi="標楷體" w:cs="Times New Roman"/>
          <w:sz w:val="28"/>
          <w:szCs w:val="26"/>
          <w:lang w:val="en-US" w:bidi="ar-SA"/>
        </w:rPr>
        <w:t>網路報名</w:t>
      </w:r>
    </w:p>
    <w:p w14:paraId="194EE73C" w14:textId="77777777"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2" w:name="_Hlk11040164"/>
      <w:bookmarkEnd w:id="1"/>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2"/>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14:paraId="0309AD83" w14:textId="77777777"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14:anchorId="69870587" wp14:editId="7BEC0A85">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25521D5C" w14:textId="77777777"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3" w:name="_Hlk11041207"/>
    </w:p>
    <w:p w14:paraId="5A3D10B0" w14:textId="77777777"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14:paraId="73B61E9B"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14:paraId="2CC10504"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4" w:name="_Hlk11040731"/>
      <w:bookmarkEnd w:id="3"/>
      <w:r w:rsidRPr="00F16F13">
        <w:rPr>
          <w:rFonts w:ascii="標楷體" w:eastAsia="標楷體" w:hAnsi="標楷體" w:cs="Times New Roman"/>
          <w:sz w:val="26"/>
          <w:szCs w:val="26"/>
          <w:lang w:val="en-US" w:bidi="ar-SA"/>
        </w:rPr>
        <w:t>報名及錄取</w:t>
      </w:r>
    </w:p>
    <w:bookmarkEnd w:id="4"/>
    <w:p w14:paraId="03EA22BA"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14:paraId="4842FCDB"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14:paraId="4CEB3BBE"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14:paraId="775FCE39"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858"/>
      <w:r w:rsidRPr="00F16F13">
        <w:rPr>
          <w:rFonts w:ascii="標楷體" w:eastAsia="標楷體" w:hAnsi="標楷體" w:cs="Times New Roman" w:hint="eastAsia"/>
          <w:sz w:val="26"/>
          <w:szCs w:val="26"/>
          <w:lang w:val="en-US" w:bidi="ar-SA"/>
        </w:rPr>
        <w:t>權利與義務</w:t>
      </w:r>
    </w:p>
    <w:bookmarkEnd w:id="5"/>
    <w:p w14:paraId="3177579F"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14:paraId="4A692C6D"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14:paraId="3FDA3E3E"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14:paraId="3292B8E6"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14:paraId="41CC2A5E"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w:t>
      </w:r>
      <w:proofErr w:type="gramStart"/>
      <w:r w:rsidRPr="00F16F13">
        <w:rPr>
          <w:rFonts w:ascii="標楷體" w:eastAsia="標楷體" w:hAnsi="標楷體" w:cs="Times New Roman" w:hint="eastAsia"/>
          <w:sz w:val="26"/>
          <w:szCs w:val="26"/>
          <w:lang w:val="en-US" w:bidi="ar-SA"/>
        </w:rPr>
        <w:t>曬</w:t>
      </w:r>
      <w:proofErr w:type="gramEnd"/>
      <w:r w:rsidRPr="00F16F13">
        <w:rPr>
          <w:rFonts w:ascii="標楷體" w:eastAsia="標楷體" w:hAnsi="標楷體" w:cs="Times New Roman" w:hint="eastAsia"/>
          <w:sz w:val="26"/>
          <w:szCs w:val="26"/>
          <w:lang w:val="en-US" w:bidi="ar-SA"/>
        </w:rPr>
        <w:t>用品等，請學員依個人習慣</w:t>
      </w:r>
      <w:proofErr w:type="gramStart"/>
      <w:r w:rsidRPr="00F16F13">
        <w:rPr>
          <w:rFonts w:ascii="標楷體" w:eastAsia="標楷體" w:hAnsi="標楷體" w:cs="Times New Roman" w:hint="eastAsia"/>
          <w:sz w:val="26"/>
          <w:szCs w:val="26"/>
          <w:lang w:val="en-US" w:bidi="ar-SA"/>
        </w:rPr>
        <w:t>自行選帶</w:t>
      </w:r>
      <w:proofErr w:type="gramEnd"/>
      <w:r w:rsidRPr="00F16F13">
        <w:rPr>
          <w:rFonts w:ascii="標楷體" w:eastAsia="標楷體" w:hAnsi="標楷體" w:cs="Times New Roman" w:hint="eastAsia"/>
          <w:sz w:val="26"/>
          <w:szCs w:val="26"/>
          <w:lang w:val="en-US" w:bidi="ar-SA"/>
        </w:rPr>
        <w:t>。</w:t>
      </w:r>
    </w:p>
    <w:p w14:paraId="508237AE"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14:paraId="2E9EFEC1"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14:paraId="24A00536"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14:paraId="29F4ACF4"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14:paraId="2A9BD94B"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14:paraId="37EBE51E"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14:paraId="6FC185B0"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14:paraId="6E32B050"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14:paraId="29A2E52D"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14:paraId="693EA96A" w14:textId="77777777"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14:paraId="23F63EF2" w14:textId="77777777" w:rsidR="00F16F13" w:rsidRPr="00F16F13" w:rsidRDefault="00F16F13">
      <w:pPr>
        <w:widowControl/>
        <w:autoSpaceDE/>
        <w:autoSpaceDN/>
        <w:rPr>
          <w:rFonts w:eastAsia="標楷體" w:hint="eastAsia"/>
          <w:b/>
          <w:sz w:val="36"/>
          <w:szCs w:val="36"/>
          <w:lang w:val="en-US"/>
        </w:rPr>
      </w:pPr>
    </w:p>
    <w:p w14:paraId="38D991EC" w14:textId="77777777" w:rsidR="00F16F13" w:rsidRDefault="00F16F13">
      <w:pPr>
        <w:widowControl/>
        <w:autoSpaceDE/>
        <w:autoSpaceDN/>
        <w:rPr>
          <w:rFonts w:eastAsia="標楷體" w:hint="eastAsia"/>
          <w:b/>
          <w:sz w:val="36"/>
          <w:szCs w:val="36"/>
        </w:rPr>
      </w:pPr>
      <w:r>
        <w:rPr>
          <w:rFonts w:eastAsia="標楷體" w:hint="eastAsia"/>
          <w:b/>
          <w:sz w:val="36"/>
          <w:szCs w:val="36"/>
        </w:rPr>
        <w:br w:type="page"/>
      </w:r>
    </w:p>
    <w:p w14:paraId="0DBFD391" w14:textId="77777777"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14:paraId="13242A6F" w14:textId="77777777" w:rsidR="00156F1E" w:rsidRDefault="00C37A02" w:rsidP="00C37A02">
      <w:pPr>
        <w:jc w:val="center"/>
        <w:rPr>
          <w:rFonts w:eastAsia="標楷體" w:hint="eastAsia"/>
          <w:b/>
          <w:sz w:val="36"/>
          <w:szCs w:val="36"/>
        </w:rPr>
      </w:pPr>
      <w:r w:rsidRPr="00C37A02">
        <w:rPr>
          <w:rFonts w:eastAsia="標楷體" w:hint="eastAsia"/>
          <w:b/>
          <w:sz w:val="36"/>
          <w:szCs w:val="36"/>
        </w:rPr>
        <w:t>報名表</w:t>
      </w:r>
    </w:p>
    <w:p w14:paraId="6D7CA61C" w14:textId="77777777"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14:paraId="4EC112AF" w14:textId="77777777" w:rsidTr="00A058D8">
        <w:trPr>
          <w:trHeight w:val="958"/>
        </w:trPr>
        <w:tc>
          <w:tcPr>
            <w:tcW w:w="1626" w:type="dxa"/>
            <w:tcBorders>
              <w:bottom w:val="single" w:sz="12" w:space="0" w:color="000000"/>
              <w:right w:val="single" w:sz="12" w:space="0" w:color="000000"/>
            </w:tcBorders>
          </w:tcPr>
          <w:p w14:paraId="61FD6C71" w14:textId="77777777"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14:paraId="52361706" w14:textId="77777777"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14:paraId="001E1135" w14:textId="77777777"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14:paraId="1C86D16F" w14:textId="77777777"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14:paraId="7B1D451F" w14:textId="77777777"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14:paraId="2CF1AE86" w14:textId="77777777"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14:paraId="522A0479" w14:textId="77777777" w:rsidTr="00A058D8">
        <w:trPr>
          <w:trHeight w:val="543"/>
        </w:trPr>
        <w:tc>
          <w:tcPr>
            <w:tcW w:w="1626" w:type="dxa"/>
            <w:vMerge w:val="restart"/>
            <w:tcBorders>
              <w:top w:val="single" w:sz="12" w:space="0" w:color="000000"/>
              <w:right w:val="single" w:sz="12" w:space="0" w:color="000000"/>
            </w:tcBorders>
          </w:tcPr>
          <w:p w14:paraId="5FF6B2C4" w14:textId="77777777" w:rsidR="00156F1E" w:rsidRPr="00C37A02" w:rsidRDefault="00156F1E" w:rsidP="00A058D8">
            <w:pPr>
              <w:pStyle w:val="TableParagraph"/>
              <w:spacing w:before="3"/>
              <w:rPr>
                <w:rFonts w:ascii="標楷體" w:eastAsia="標楷體" w:hAnsi="標楷體"/>
                <w:sz w:val="11"/>
                <w:lang w:eastAsia="zh-TW"/>
              </w:rPr>
            </w:pPr>
          </w:p>
          <w:p w14:paraId="1634F853" w14:textId="77777777"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14:paraId="092749F1"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434C6876" w14:textId="77777777"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65503C66" w14:textId="77777777"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14:paraId="314F9011" w14:textId="77777777" w:rsidTr="00A058D8">
        <w:trPr>
          <w:trHeight w:val="543"/>
        </w:trPr>
        <w:tc>
          <w:tcPr>
            <w:tcW w:w="1626" w:type="dxa"/>
            <w:vMerge/>
            <w:tcBorders>
              <w:bottom w:val="single" w:sz="12" w:space="0" w:color="000000"/>
              <w:right w:val="single" w:sz="12" w:space="0" w:color="000000"/>
            </w:tcBorders>
          </w:tcPr>
          <w:p w14:paraId="30FA739E" w14:textId="77777777"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14:paraId="13325030" w14:textId="77777777"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0C3B0879" w14:textId="77777777"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4FC0C4ED" w14:textId="77777777" w:rsidR="00156F1E" w:rsidRPr="00C37A02" w:rsidRDefault="00156F1E" w:rsidP="00A058D8">
            <w:pPr>
              <w:pStyle w:val="TableParagraph"/>
              <w:rPr>
                <w:rFonts w:ascii="標楷體" w:eastAsia="標楷體" w:hAnsi="標楷體"/>
                <w:sz w:val="24"/>
              </w:rPr>
            </w:pPr>
          </w:p>
        </w:tc>
      </w:tr>
      <w:tr w:rsidR="00156F1E" w:rsidRPr="00C37A02" w14:paraId="0255C789" w14:textId="77777777" w:rsidTr="00A058D8">
        <w:trPr>
          <w:trHeight w:val="541"/>
        </w:trPr>
        <w:tc>
          <w:tcPr>
            <w:tcW w:w="1626" w:type="dxa"/>
            <w:tcBorders>
              <w:top w:val="single" w:sz="12" w:space="0" w:color="000000"/>
              <w:bottom w:val="single" w:sz="12" w:space="0" w:color="000000"/>
              <w:right w:val="single" w:sz="12" w:space="0" w:color="000000"/>
            </w:tcBorders>
          </w:tcPr>
          <w:p w14:paraId="54569917" w14:textId="77777777"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14:paraId="193BFB0C"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2D1AC038" w14:textId="77777777"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14:paraId="764CFB68" w14:textId="77777777" w:rsidR="00156F1E" w:rsidRPr="00C37A02" w:rsidRDefault="00156F1E" w:rsidP="00A058D8">
            <w:pPr>
              <w:pStyle w:val="TableParagraph"/>
              <w:rPr>
                <w:rFonts w:ascii="標楷體" w:eastAsia="標楷體" w:hAnsi="標楷體"/>
                <w:sz w:val="24"/>
              </w:rPr>
            </w:pPr>
          </w:p>
        </w:tc>
      </w:tr>
      <w:tr w:rsidR="00C37A02" w:rsidRPr="00C37A02" w14:paraId="6DDC1C4F" w14:textId="77777777" w:rsidTr="009852FB">
        <w:trPr>
          <w:trHeight w:val="541"/>
        </w:trPr>
        <w:tc>
          <w:tcPr>
            <w:tcW w:w="1626" w:type="dxa"/>
            <w:tcBorders>
              <w:top w:val="single" w:sz="12" w:space="0" w:color="000000"/>
              <w:bottom w:val="single" w:sz="12" w:space="0" w:color="000000"/>
              <w:right w:val="single" w:sz="12" w:space="0" w:color="000000"/>
            </w:tcBorders>
          </w:tcPr>
          <w:p w14:paraId="2FD484E6" w14:textId="77777777"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14:paraId="06FB32E4" w14:textId="77777777" w:rsidR="00C37A02" w:rsidRPr="00C37A02" w:rsidRDefault="00C37A02" w:rsidP="00A058D8">
            <w:pPr>
              <w:pStyle w:val="TableParagraph"/>
              <w:rPr>
                <w:rFonts w:ascii="標楷體" w:eastAsia="標楷體" w:hAnsi="標楷體"/>
                <w:sz w:val="24"/>
              </w:rPr>
            </w:pPr>
          </w:p>
        </w:tc>
      </w:tr>
      <w:tr w:rsidR="00156F1E" w:rsidRPr="00C37A02" w14:paraId="311581CB" w14:textId="77777777" w:rsidTr="00D15AD2">
        <w:trPr>
          <w:trHeight w:val="541"/>
        </w:trPr>
        <w:tc>
          <w:tcPr>
            <w:tcW w:w="1626" w:type="dxa"/>
            <w:tcBorders>
              <w:top w:val="single" w:sz="12" w:space="0" w:color="000000"/>
              <w:bottom w:val="single" w:sz="12" w:space="0" w:color="000000"/>
              <w:right w:val="single" w:sz="12" w:space="0" w:color="000000"/>
            </w:tcBorders>
          </w:tcPr>
          <w:p w14:paraId="3036E77B" w14:textId="77777777"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14:paraId="455B18FF" w14:textId="77777777"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14:paraId="52DADB22" w14:textId="77777777"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14:paraId="658439A7" w14:textId="77777777" w:rsidTr="00A058D8">
        <w:trPr>
          <w:trHeight w:val="721"/>
        </w:trPr>
        <w:tc>
          <w:tcPr>
            <w:tcW w:w="1626" w:type="dxa"/>
            <w:tcBorders>
              <w:top w:val="single" w:sz="12" w:space="0" w:color="000000"/>
              <w:bottom w:val="single" w:sz="12" w:space="0" w:color="000000"/>
              <w:right w:val="single" w:sz="12" w:space="0" w:color="000000"/>
            </w:tcBorders>
          </w:tcPr>
          <w:p w14:paraId="21210571" w14:textId="77777777"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14:paraId="0ADA787A" w14:textId="77777777"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14:paraId="7A4C8B2D" w14:textId="77777777"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14:paraId="3BD5B6B4" w14:textId="77777777" w:rsidTr="00A058D8">
        <w:trPr>
          <w:trHeight w:val="697"/>
        </w:trPr>
        <w:tc>
          <w:tcPr>
            <w:tcW w:w="1626" w:type="dxa"/>
            <w:tcBorders>
              <w:top w:val="single" w:sz="12" w:space="0" w:color="000000"/>
              <w:bottom w:val="single" w:sz="12" w:space="0" w:color="000000"/>
              <w:right w:val="single" w:sz="12" w:space="0" w:color="000000"/>
            </w:tcBorders>
          </w:tcPr>
          <w:p w14:paraId="1CA4A2B2" w14:textId="77777777"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14:paraId="73025722" w14:textId="77777777" w:rsidR="00156F1E" w:rsidRPr="00C37A02" w:rsidRDefault="00156F1E" w:rsidP="00A058D8">
            <w:pPr>
              <w:pStyle w:val="TableParagraph"/>
              <w:rPr>
                <w:rFonts w:ascii="標楷體" w:eastAsia="標楷體" w:hAnsi="標楷體"/>
                <w:sz w:val="24"/>
              </w:rPr>
            </w:pPr>
          </w:p>
        </w:tc>
      </w:tr>
      <w:tr w:rsidR="00156F1E" w:rsidRPr="00C37A02" w14:paraId="0587D8FC" w14:textId="77777777" w:rsidTr="00A058D8">
        <w:trPr>
          <w:trHeight w:val="692"/>
        </w:trPr>
        <w:tc>
          <w:tcPr>
            <w:tcW w:w="1626" w:type="dxa"/>
            <w:vMerge w:val="restart"/>
            <w:tcBorders>
              <w:top w:val="single" w:sz="12" w:space="0" w:color="000000"/>
              <w:bottom w:val="single" w:sz="12" w:space="0" w:color="000000"/>
              <w:right w:val="single" w:sz="12" w:space="0" w:color="000000"/>
            </w:tcBorders>
          </w:tcPr>
          <w:p w14:paraId="10CEDAE7" w14:textId="77777777" w:rsidR="00156F1E" w:rsidRPr="00C37A02" w:rsidRDefault="00156F1E" w:rsidP="00A058D8">
            <w:pPr>
              <w:pStyle w:val="TableParagraph"/>
              <w:spacing w:before="9"/>
              <w:rPr>
                <w:rFonts w:ascii="標楷體" w:eastAsia="標楷體" w:hAnsi="標楷體"/>
                <w:sz w:val="25"/>
              </w:rPr>
            </w:pPr>
          </w:p>
          <w:p w14:paraId="6AB09CA4" w14:textId="77777777"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14:paraId="14763FC9" w14:textId="77777777"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14:paraId="1779AD55" w14:textId="77777777"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14:paraId="31FB48E8" w14:textId="77777777"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14:paraId="1028BA82" w14:textId="77777777" w:rsidR="00156F1E" w:rsidRPr="00C37A02" w:rsidRDefault="00156F1E" w:rsidP="00A058D8">
            <w:pPr>
              <w:pStyle w:val="TableParagraph"/>
              <w:rPr>
                <w:rFonts w:ascii="標楷體" w:eastAsia="標楷體" w:hAnsi="標楷體"/>
                <w:sz w:val="24"/>
              </w:rPr>
            </w:pPr>
          </w:p>
        </w:tc>
      </w:tr>
      <w:tr w:rsidR="00156F1E" w:rsidRPr="00C37A02" w14:paraId="7D523967" w14:textId="77777777" w:rsidTr="00A058D8">
        <w:trPr>
          <w:trHeight w:val="1002"/>
        </w:trPr>
        <w:tc>
          <w:tcPr>
            <w:tcW w:w="1626" w:type="dxa"/>
            <w:vMerge/>
            <w:tcBorders>
              <w:top w:val="nil"/>
              <w:bottom w:val="single" w:sz="12" w:space="0" w:color="000000"/>
              <w:right w:val="single" w:sz="12" w:space="0" w:color="000000"/>
            </w:tcBorders>
          </w:tcPr>
          <w:p w14:paraId="479BE129" w14:textId="77777777"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14:paraId="4219C2C7" w14:textId="77777777"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14:paraId="715220CF" w14:textId="77777777"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14:paraId="76C1A134" w14:textId="77777777"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14:paraId="38F0A810" w14:textId="77777777" w:rsidTr="00A058D8">
        <w:trPr>
          <w:trHeight w:val="956"/>
        </w:trPr>
        <w:tc>
          <w:tcPr>
            <w:tcW w:w="1626" w:type="dxa"/>
            <w:tcBorders>
              <w:top w:val="single" w:sz="12" w:space="0" w:color="000000"/>
              <w:bottom w:val="single" w:sz="12" w:space="0" w:color="000000"/>
              <w:right w:val="single" w:sz="12" w:space="0" w:color="000000"/>
            </w:tcBorders>
          </w:tcPr>
          <w:p w14:paraId="56712BD0" w14:textId="77777777"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14:paraId="4EAAAD18" w14:textId="77777777"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14:paraId="04BF4618" w14:textId="77777777"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14:paraId="42FAD85F" w14:textId="77777777" w:rsidTr="00A058D8">
        <w:trPr>
          <w:trHeight w:val="956"/>
        </w:trPr>
        <w:tc>
          <w:tcPr>
            <w:tcW w:w="1626" w:type="dxa"/>
            <w:tcBorders>
              <w:top w:val="single" w:sz="12" w:space="0" w:color="000000"/>
              <w:bottom w:val="single" w:sz="12" w:space="0" w:color="000000"/>
              <w:right w:val="single" w:sz="12" w:space="0" w:color="000000"/>
            </w:tcBorders>
          </w:tcPr>
          <w:p w14:paraId="036C4123"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14:paraId="6B0B8E97"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14:paraId="356A1D82" w14:textId="77777777"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14:paraId="2C4B8DAE" w14:textId="77777777"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9609" w14:textId="77777777" w:rsidR="006465AE" w:rsidRDefault="006465AE" w:rsidP="00F009EC">
      <w:r>
        <w:separator/>
      </w:r>
    </w:p>
  </w:endnote>
  <w:endnote w:type="continuationSeparator" w:id="0">
    <w:p w14:paraId="4C36D9CF" w14:textId="77777777" w:rsidR="006465AE" w:rsidRDefault="006465AE"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6C86" w14:textId="77777777" w:rsidR="006465AE" w:rsidRDefault="006465AE" w:rsidP="00F009EC">
      <w:r>
        <w:separator/>
      </w:r>
    </w:p>
  </w:footnote>
  <w:footnote w:type="continuationSeparator" w:id="0">
    <w:p w14:paraId="2FC2AACD" w14:textId="77777777" w:rsidR="006465AE" w:rsidRDefault="006465AE"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602449"/>
    <w:rsid w:val="00626981"/>
    <w:rsid w:val="006465AE"/>
    <w:rsid w:val="008B3699"/>
    <w:rsid w:val="00984CCF"/>
    <w:rsid w:val="00A2422B"/>
    <w:rsid w:val="00A73538"/>
    <w:rsid w:val="00B36F44"/>
    <w:rsid w:val="00B855C5"/>
    <w:rsid w:val="00C37A02"/>
    <w:rsid w:val="00C82F0A"/>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D3CB"/>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797C-C8E9-4CF4-992E-85DEC7AE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淑卿 張</cp:lastModifiedBy>
  <cp:revision>2</cp:revision>
  <cp:lastPrinted>2023-06-15T01:44:00Z</cp:lastPrinted>
  <dcterms:created xsi:type="dcterms:W3CDTF">2023-06-16T08:49:00Z</dcterms:created>
  <dcterms:modified xsi:type="dcterms:W3CDTF">2023-06-16T08:49:00Z</dcterms:modified>
</cp:coreProperties>
</file>